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5E110" w14:textId="77777777" w:rsidR="00365BA4" w:rsidRDefault="00365BA4" w:rsidP="00365BA4">
      <w:pPr>
        <w:pStyle w:val="NormalWeb"/>
        <w:spacing w:before="0" w:beforeAutospacing="0" w:after="0" w:afterAutospacing="0"/>
        <w:ind w:left="720"/>
        <w:jc w:val="right"/>
      </w:pPr>
    </w:p>
    <w:p w14:paraId="55F812FB" w14:textId="77777777" w:rsidR="00365BA4" w:rsidRDefault="00365BA4" w:rsidP="00365BA4">
      <w:pPr>
        <w:pStyle w:val="NormalWeb"/>
        <w:spacing w:before="0" w:beforeAutospacing="0" w:after="0" w:afterAutospacing="0"/>
        <w:ind w:left="720"/>
        <w:jc w:val="right"/>
      </w:pPr>
    </w:p>
    <w:p w14:paraId="28FCFDCD" w14:textId="77777777" w:rsidR="00365BA4" w:rsidRDefault="00365BA4" w:rsidP="00365BA4">
      <w:pPr>
        <w:pStyle w:val="NormalWeb"/>
        <w:spacing w:before="0" w:beforeAutospacing="0" w:after="0" w:afterAutospacing="0"/>
        <w:ind w:left="720"/>
        <w:jc w:val="right"/>
      </w:pPr>
    </w:p>
    <w:p w14:paraId="0CA17A6A" w14:textId="77777777" w:rsidR="00365BA4" w:rsidRDefault="00365BA4" w:rsidP="00365BA4">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6D33AB52" wp14:editId="72404FD0">
            <wp:extent cx="571500" cy="1162050"/>
            <wp:effectExtent l="0" t="0" r="0" b="0"/>
            <wp:docPr id="1" name="Picture 1" descr="Дүрэм шинэчлэн батлах тухай /Барилга байгууламжийн төвөгшлийн ангилалыг зориулалт, хүчин чадлаар нь тогтоо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үрэм шинэчлэн батлах тухай /Барилга байгууламжийн төвөгшлийн ангилалыг зориулалт, хүчин чадлаар нь тогтоо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14:paraId="29E1FF4A" w14:textId="77777777" w:rsidR="00365BA4" w:rsidRDefault="00365BA4" w:rsidP="00365BA4">
      <w:pPr>
        <w:spacing w:after="240"/>
        <w:rPr>
          <w:rFonts w:ascii="Arial" w:eastAsia="Times New Roman" w:hAnsi="Arial" w:cs="Arial"/>
          <w:sz w:val="20"/>
          <w:szCs w:val="20"/>
        </w:rPr>
      </w:pPr>
    </w:p>
    <w:p w14:paraId="5E0B77FF" w14:textId="77777777" w:rsidR="00365BA4" w:rsidRDefault="00365BA4" w:rsidP="00365BA4">
      <w:pPr>
        <w:jc w:val="center"/>
        <w:rPr>
          <w:rFonts w:ascii="Arial" w:eastAsia="Times New Roman" w:hAnsi="Arial" w:cs="Arial"/>
          <w:b/>
          <w:bCs/>
          <w:sz w:val="20"/>
          <w:szCs w:val="20"/>
        </w:rPr>
      </w:pPr>
      <w:r>
        <w:rPr>
          <w:rFonts w:ascii="Arial" w:eastAsia="Times New Roman" w:hAnsi="Arial" w:cs="Arial"/>
          <w:b/>
          <w:bCs/>
          <w:sz w:val="20"/>
          <w:szCs w:val="20"/>
        </w:rPr>
        <w:t>БАРИЛГА,  ХОТ БАЙГУУЛАЛТЫН САЙДЫН ТУШААЛ</w:t>
      </w:r>
    </w:p>
    <w:p w14:paraId="790761BA" w14:textId="77777777" w:rsidR="00365BA4" w:rsidRDefault="00365BA4" w:rsidP="00365BA4">
      <w:pPr>
        <w:jc w:val="center"/>
        <w:rPr>
          <w:rFonts w:ascii="Arial" w:eastAsia="Times New Roman" w:hAnsi="Arial" w:cs="Arial"/>
          <w:b/>
          <w:bCs/>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365BA4" w:rsidRPr="00F6008D" w14:paraId="19C749C9" w14:textId="77777777" w:rsidTr="00BF7BC2">
        <w:trPr>
          <w:tblCellSpacing w:w="15" w:type="dxa"/>
        </w:trPr>
        <w:tc>
          <w:tcPr>
            <w:tcW w:w="1650" w:type="pct"/>
            <w:vAlign w:val="center"/>
            <w:hideMark/>
          </w:tcPr>
          <w:p w14:paraId="2B3D1295" w14:textId="77777777" w:rsidR="00365BA4" w:rsidRPr="00F6008D" w:rsidRDefault="00365BA4" w:rsidP="00BF7BC2">
            <w:pPr>
              <w:spacing w:before="100" w:beforeAutospacing="1" w:after="100" w:afterAutospacing="1"/>
              <w:rPr>
                <w:rFonts w:ascii="Times New Roman" w:eastAsia="Times New Roman" w:hAnsi="Times New Roman"/>
                <w:color w:val="275DFF"/>
                <w:sz w:val="18"/>
                <w:szCs w:val="18"/>
              </w:rPr>
            </w:pPr>
            <w:r w:rsidRPr="00F6008D">
              <w:rPr>
                <w:rFonts w:ascii="Times New Roman" w:eastAsia="Times New Roman" w:hAnsi="Times New Roman"/>
                <w:color w:val="275DFF"/>
                <w:sz w:val="18"/>
                <w:szCs w:val="18"/>
              </w:rPr>
              <w:t>2018 оны 12 дугаар сарын 31-ний өдөр</w:t>
            </w:r>
          </w:p>
        </w:tc>
        <w:tc>
          <w:tcPr>
            <w:tcW w:w="1650" w:type="pct"/>
            <w:vAlign w:val="center"/>
            <w:hideMark/>
          </w:tcPr>
          <w:p w14:paraId="60FEBB43" w14:textId="77777777" w:rsidR="00365BA4" w:rsidRPr="00F6008D" w:rsidRDefault="00365BA4" w:rsidP="00BF7BC2">
            <w:pPr>
              <w:spacing w:before="100" w:beforeAutospacing="1" w:after="100" w:afterAutospacing="1"/>
              <w:rPr>
                <w:rFonts w:ascii="Times New Roman" w:eastAsia="Times New Roman" w:hAnsi="Times New Roman"/>
                <w:color w:val="275DFF"/>
                <w:sz w:val="18"/>
                <w:szCs w:val="18"/>
              </w:rPr>
            </w:pPr>
          </w:p>
        </w:tc>
        <w:tc>
          <w:tcPr>
            <w:tcW w:w="1650" w:type="pct"/>
            <w:vAlign w:val="center"/>
            <w:hideMark/>
          </w:tcPr>
          <w:p w14:paraId="2762F114" w14:textId="77777777" w:rsidR="00365BA4" w:rsidRPr="00F6008D" w:rsidRDefault="00365BA4" w:rsidP="00BF7BC2">
            <w:pPr>
              <w:spacing w:before="100" w:beforeAutospacing="1" w:after="100" w:afterAutospacing="1"/>
              <w:jc w:val="right"/>
              <w:rPr>
                <w:rFonts w:ascii="Times New Roman" w:eastAsia="Times New Roman" w:hAnsi="Times New Roman"/>
                <w:color w:val="275DFF"/>
                <w:sz w:val="18"/>
                <w:szCs w:val="18"/>
              </w:rPr>
            </w:pPr>
            <w:r w:rsidRPr="00F6008D">
              <w:rPr>
                <w:rFonts w:ascii="Times New Roman" w:eastAsia="Times New Roman" w:hAnsi="Times New Roman"/>
                <w:color w:val="275DFF"/>
                <w:sz w:val="18"/>
                <w:szCs w:val="18"/>
              </w:rPr>
              <w:t>Улаанбаатар хот                                  </w:t>
            </w:r>
          </w:p>
        </w:tc>
      </w:tr>
    </w:tbl>
    <w:p w14:paraId="0D665C5E" w14:textId="77777777" w:rsidR="00365BA4" w:rsidRPr="00F6008D" w:rsidRDefault="00365BA4" w:rsidP="00365BA4">
      <w:pPr>
        <w:rPr>
          <w:rFonts w:ascii="Arial" w:eastAsia="Times New Roman" w:hAnsi="Arial" w:cs="Arial"/>
          <w:sz w:val="18"/>
          <w:szCs w:val="18"/>
        </w:rPr>
      </w:pPr>
    </w:p>
    <w:p w14:paraId="2AF24C67" w14:textId="77777777" w:rsidR="00365BA4" w:rsidRDefault="00365BA4" w:rsidP="00365BA4">
      <w:pPr>
        <w:jc w:val="center"/>
        <w:rPr>
          <w:rFonts w:ascii="Arial" w:eastAsia="Times New Roman" w:hAnsi="Arial" w:cs="Arial"/>
          <w:b/>
          <w:bCs/>
          <w:sz w:val="20"/>
          <w:szCs w:val="20"/>
        </w:rPr>
      </w:pPr>
      <w:r>
        <w:rPr>
          <w:rFonts w:ascii="Arial" w:eastAsia="Times New Roman" w:hAnsi="Arial" w:cs="Arial"/>
          <w:b/>
          <w:bCs/>
          <w:sz w:val="20"/>
          <w:szCs w:val="20"/>
        </w:rPr>
        <w:t>Дугаар 218 </w:t>
      </w:r>
    </w:p>
    <w:p w14:paraId="2C69E57C" w14:textId="77777777" w:rsidR="00365BA4" w:rsidRDefault="00365BA4" w:rsidP="00365BA4">
      <w:pPr>
        <w:jc w:val="center"/>
        <w:rPr>
          <w:rFonts w:ascii="Arial" w:eastAsia="Times New Roman" w:hAnsi="Arial" w:cs="Arial"/>
          <w:b/>
          <w:bCs/>
          <w:sz w:val="20"/>
          <w:szCs w:val="20"/>
        </w:rPr>
      </w:pPr>
    </w:p>
    <w:p w14:paraId="75958642" w14:textId="77777777" w:rsidR="00365BA4" w:rsidRDefault="00365BA4" w:rsidP="00365BA4">
      <w:pPr>
        <w:jc w:val="center"/>
        <w:rPr>
          <w:rFonts w:ascii="Arial" w:eastAsia="Times New Roman" w:hAnsi="Arial" w:cs="Arial"/>
          <w:b/>
          <w:bCs/>
          <w:sz w:val="20"/>
          <w:szCs w:val="20"/>
        </w:rPr>
      </w:pPr>
      <w:r>
        <w:rPr>
          <w:rFonts w:ascii="Arial" w:eastAsia="Times New Roman" w:hAnsi="Arial" w:cs="Arial"/>
          <w:b/>
          <w:bCs/>
          <w:sz w:val="20"/>
          <w:szCs w:val="20"/>
        </w:rPr>
        <w:t>Дүрэм шинэчлэн батлах тухай</w:t>
      </w:r>
    </w:p>
    <w:p w14:paraId="044C855F" w14:textId="77777777" w:rsidR="00365BA4" w:rsidRPr="00F6008D" w:rsidRDefault="00365BA4" w:rsidP="00365BA4">
      <w:pPr>
        <w:pStyle w:val="NormalWeb"/>
        <w:ind w:firstLine="720"/>
        <w:jc w:val="both"/>
        <w:rPr>
          <w:rFonts w:ascii="Arial" w:hAnsi="Arial" w:cs="Arial"/>
        </w:rPr>
      </w:pPr>
      <w:r w:rsidRPr="00F6008D">
        <w:rPr>
          <w:rFonts w:ascii="Arial" w:hAnsi="Arial" w:cs="Arial"/>
        </w:rPr>
        <w:t>            Монгол Улсын Засгийн газрын тухай хуулийн 24 дүгээр зүйлийн 2 дахь хэсэг, Монгол Улсын Яамны эрх зүйн байдлын тухай хуулийн 7 дугаар зүйлийн 7.1.13, 8 дугаар зүйлийн 8.5 дахь хэсэг, Барилгын тухай хуулийн 10 дугаар зүйлийн 10.2 дэх хэсэг, Захиргааны ерөнхий хуулийн 63 дугаар зүйлийг тус тус үндэслэн ТУШААХ нь:</w:t>
      </w:r>
    </w:p>
    <w:p w14:paraId="06A53680" w14:textId="77777777" w:rsidR="00365BA4" w:rsidRPr="00F6008D" w:rsidRDefault="00365BA4" w:rsidP="00365BA4">
      <w:pPr>
        <w:pStyle w:val="NormalWeb"/>
        <w:ind w:firstLine="720"/>
        <w:jc w:val="both"/>
        <w:rPr>
          <w:rFonts w:ascii="Arial" w:hAnsi="Arial" w:cs="Arial"/>
        </w:rPr>
      </w:pPr>
      <w:r w:rsidRPr="00F6008D">
        <w:rPr>
          <w:rFonts w:ascii="Arial" w:hAnsi="Arial" w:cs="Arial"/>
        </w:rPr>
        <w:t>         1. “Барилга байгууламжийн төвөгшлийн ангилалыг зориулалт, хүчин чадлаар нь тогтоох дүрэм”-ийг хавсралтаар шинэчлэн баталсугай.</w:t>
      </w:r>
    </w:p>
    <w:p w14:paraId="0B288DB1" w14:textId="77777777" w:rsidR="00365BA4" w:rsidRPr="00F6008D" w:rsidRDefault="00365BA4" w:rsidP="00365BA4">
      <w:pPr>
        <w:pStyle w:val="NormalWeb"/>
        <w:ind w:firstLine="720"/>
        <w:jc w:val="both"/>
        <w:rPr>
          <w:rFonts w:ascii="Arial" w:hAnsi="Arial" w:cs="Arial"/>
        </w:rPr>
      </w:pPr>
      <w:r w:rsidRPr="00F6008D">
        <w:rPr>
          <w:rFonts w:ascii="Arial" w:hAnsi="Arial" w:cs="Arial"/>
        </w:rPr>
        <w:t>       2. Дүрмийг холбогдох байгууллагуудад хүргүүлж мөрдүүлэх, биелэлтэд хяналт тавьж ажиллахыг Төрийн нарийн бичгийн дарга /С.Магнайсүрэн/-д даалгасугай.</w:t>
      </w:r>
    </w:p>
    <w:p w14:paraId="2DD073D4" w14:textId="77777777" w:rsidR="00365BA4" w:rsidRPr="00F6008D" w:rsidRDefault="00365BA4" w:rsidP="00365BA4">
      <w:pPr>
        <w:pStyle w:val="NormalWeb"/>
        <w:ind w:firstLine="720"/>
        <w:jc w:val="both"/>
        <w:rPr>
          <w:rFonts w:ascii="Arial" w:hAnsi="Arial" w:cs="Arial"/>
        </w:rPr>
      </w:pPr>
      <w:r w:rsidRPr="00F6008D">
        <w:rPr>
          <w:rFonts w:ascii="Arial" w:hAnsi="Arial" w:cs="Arial"/>
        </w:rPr>
        <w:t>       3. Энэ тушаал батлагдсантай холбогдуулан Барилга, хот байгуулалтын сайдын 2017 оны 194 дүгээр тушаалыг хүчингүй болсонд тооцсугай.</w:t>
      </w:r>
    </w:p>
    <w:p w14:paraId="30F84C28" w14:textId="77777777" w:rsidR="00365BA4" w:rsidRPr="00F6008D" w:rsidRDefault="00365BA4" w:rsidP="00365BA4">
      <w:pPr>
        <w:jc w:val="both"/>
        <w:rPr>
          <w:rFonts w:ascii="Arial" w:eastAsia="Times New Roman" w:hAnsi="Arial" w:cs="Arial"/>
          <w:b/>
          <w:bCs/>
          <w:sz w:val="24"/>
          <w:szCs w:val="24"/>
        </w:rPr>
      </w:pPr>
      <w:r w:rsidRPr="00F6008D">
        <w:rPr>
          <w:rFonts w:ascii="Arial" w:eastAsia="Times New Roman" w:hAnsi="Arial" w:cs="Arial"/>
          <w:b/>
          <w:bCs/>
          <w:sz w:val="24"/>
          <w:szCs w:val="24"/>
        </w:rPr>
        <w:t>          </w:t>
      </w:r>
    </w:p>
    <w:p w14:paraId="408E6097" w14:textId="77777777" w:rsidR="00365BA4" w:rsidRPr="00F6008D" w:rsidRDefault="00365BA4" w:rsidP="00365BA4">
      <w:pPr>
        <w:pStyle w:val="NormalWeb"/>
        <w:ind w:firstLine="720"/>
        <w:jc w:val="both"/>
        <w:rPr>
          <w:rFonts w:ascii="Arial" w:hAnsi="Arial" w:cs="Arial"/>
        </w:rPr>
      </w:pPr>
      <w:r w:rsidRPr="00F6008D">
        <w:rPr>
          <w:rFonts w:ascii="Arial" w:hAnsi="Arial" w:cs="Arial"/>
        </w:rPr>
        <w:t>                                   </w:t>
      </w:r>
    </w:p>
    <w:p w14:paraId="311C5454" w14:textId="77777777" w:rsidR="00365BA4" w:rsidRPr="00F6008D" w:rsidRDefault="00365BA4" w:rsidP="00365BA4">
      <w:pPr>
        <w:pStyle w:val="NormalWeb"/>
        <w:ind w:firstLine="720"/>
        <w:jc w:val="both"/>
        <w:rPr>
          <w:rFonts w:ascii="Arial" w:hAnsi="Arial" w:cs="Arial"/>
        </w:rPr>
      </w:pPr>
      <w:r w:rsidRPr="00F6008D">
        <w:rPr>
          <w:rFonts w:ascii="Arial" w:hAnsi="Arial" w:cs="Arial"/>
        </w:rPr>
        <w:t>САЙД                                     Х.БАДЕЛХАН</w:t>
      </w:r>
    </w:p>
    <w:p w14:paraId="26DBDB55" w14:textId="77777777" w:rsidR="00365BA4" w:rsidRDefault="00365BA4" w:rsidP="00365BA4">
      <w:pPr>
        <w:pStyle w:val="NormalWeb"/>
        <w:spacing w:before="0" w:beforeAutospacing="0" w:after="0" w:afterAutospacing="0"/>
        <w:ind w:left="720"/>
        <w:jc w:val="right"/>
      </w:pPr>
    </w:p>
    <w:p w14:paraId="5B7A03ED" w14:textId="77777777" w:rsidR="00365BA4" w:rsidRDefault="00365BA4" w:rsidP="00365BA4">
      <w:pPr>
        <w:pStyle w:val="NormalWeb"/>
        <w:spacing w:before="0" w:beforeAutospacing="0" w:after="0" w:afterAutospacing="0"/>
        <w:ind w:left="720"/>
        <w:jc w:val="right"/>
      </w:pPr>
    </w:p>
    <w:p w14:paraId="72F56FD7" w14:textId="77777777" w:rsidR="00365BA4" w:rsidRDefault="00365BA4" w:rsidP="00365BA4">
      <w:pPr>
        <w:pStyle w:val="NormalWeb"/>
        <w:spacing w:before="0" w:beforeAutospacing="0" w:after="0" w:afterAutospacing="0"/>
        <w:ind w:left="720"/>
        <w:jc w:val="right"/>
      </w:pPr>
    </w:p>
    <w:p w14:paraId="4CD075A7" w14:textId="77777777" w:rsidR="00365BA4" w:rsidRDefault="00365BA4" w:rsidP="00365BA4">
      <w:pPr>
        <w:pStyle w:val="NormalWeb"/>
        <w:spacing w:before="0" w:beforeAutospacing="0" w:after="0" w:afterAutospacing="0"/>
        <w:ind w:left="720"/>
        <w:jc w:val="right"/>
      </w:pPr>
    </w:p>
    <w:p w14:paraId="743E6CE5" w14:textId="77777777" w:rsidR="00365BA4" w:rsidRDefault="00365BA4" w:rsidP="00365BA4">
      <w:pPr>
        <w:pStyle w:val="NormalWeb"/>
        <w:spacing w:before="0" w:beforeAutospacing="0" w:after="0" w:afterAutospacing="0"/>
        <w:ind w:left="720"/>
        <w:jc w:val="right"/>
      </w:pPr>
    </w:p>
    <w:p w14:paraId="19E4763E" w14:textId="77777777" w:rsidR="00365BA4" w:rsidRDefault="00365BA4" w:rsidP="00365BA4">
      <w:pPr>
        <w:pStyle w:val="NormalWeb"/>
        <w:spacing w:before="0" w:beforeAutospacing="0" w:after="0" w:afterAutospacing="0"/>
        <w:ind w:left="720"/>
        <w:jc w:val="right"/>
      </w:pPr>
    </w:p>
    <w:p w14:paraId="6C98F579" w14:textId="77777777" w:rsidR="00365BA4" w:rsidRDefault="00365BA4" w:rsidP="00365BA4">
      <w:pPr>
        <w:pStyle w:val="NormalWeb"/>
        <w:spacing w:before="0" w:beforeAutospacing="0" w:after="0" w:afterAutospacing="0"/>
        <w:ind w:left="720"/>
        <w:jc w:val="right"/>
      </w:pPr>
      <w:r>
        <w:lastRenderedPageBreak/>
        <w:t>Барилга, хот байгуулалтын сайдын</w:t>
      </w:r>
    </w:p>
    <w:p w14:paraId="430E11B4" w14:textId="77777777" w:rsidR="00365BA4" w:rsidRDefault="00365BA4" w:rsidP="00365BA4">
      <w:pPr>
        <w:pStyle w:val="NormalWeb"/>
        <w:spacing w:before="0" w:beforeAutospacing="0" w:after="0" w:afterAutospacing="0"/>
        <w:ind w:left="720"/>
        <w:jc w:val="right"/>
      </w:pPr>
      <w:r>
        <w:t>2018 оны 12 дугаар сарын 31-ний өдрийн</w:t>
      </w:r>
    </w:p>
    <w:p w14:paraId="0DC9EBDA" w14:textId="77777777" w:rsidR="00365BA4" w:rsidRDefault="00365BA4" w:rsidP="00365BA4">
      <w:pPr>
        <w:pStyle w:val="NormalWeb"/>
        <w:spacing w:before="0" w:beforeAutospacing="0" w:after="0" w:afterAutospacing="0"/>
        <w:ind w:left="720"/>
        <w:jc w:val="right"/>
      </w:pPr>
      <w:r>
        <w:t> 218 дугаар тушаалаар батлав.</w:t>
      </w:r>
    </w:p>
    <w:p w14:paraId="1669CC49" w14:textId="77777777" w:rsidR="00365BA4" w:rsidRDefault="00365BA4" w:rsidP="00365BA4">
      <w:pPr>
        <w:pStyle w:val="NormalWeb"/>
        <w:spacing w:before="0" w:beforeAutospacing="0" w:after="0" w:afterAutospacing="0"/>
        <w:ind w:left="720"/>
        <w:jc w:val="right"/>
      </w:pPr>
      <w:r>
        <w:t> </w:t>
      </w:r>
    </w:p>
    <w:p w14:paraId="73CEC7EF" w14:textId="77777777" w:rsidR="00365BA4" w:rsidRDefault="00365BA4" w:rsidP="00365BA4">
      <w:pPr>
        <w:pStyle w:val="NormalWeb"/>
        <w:spacing w:before="0" w:beforeAutospacing="0" w:after="0" w:afterAutospacing="0"/>
        <w:ind w:left="720"/>
        <w:jc w:val="center"/>
      </w:pPr>
      <w:r>
        <w:rPr>
          <w:rStyle w:val="Strong"/>
        </w:rPr>
        <w:t xml:space="preserve">БАРИЛГА БАЙГУУЛАМЖИЙН ТӨВӨГШЛИЙН АНГИЛАЛЫГ </w:t>
      </w:r>
    </w:p>
    <w:p w14:paraId="5ED91D99" w14:textId="77777777" w:rsidR="00365BA4" w:rsidRDefault="00365BA4" w:rsidP="00365BA4">
      <w:pPr>
        <w:pStyle w:val="NormalWeb"/>
        <w:spacing w:before="0" w:beforeAutospacing="0" w:after="0" w:afterAutospacing="0"/>
        <w:ind w:left="720"/>
        <w:jc w:val="center"/>
      </w:pPr>
      <w:r>
        <w:rPr>
          <w:rStyle w:val="Strong"/>
        </w:rPr>
        <w:t>ЗОРИУЛАЛТ, ХҮЧИН ЧАДЛААР НЬ ТОГТООХ ДҮРЭМ</w:t>
      </w:r>
    </w:p>
    <w:p w14:paraId="4A516780" w14:textId="77777777" w:rsidR="00365BA4" w:rsidRDefault="00365BA4" w:rsidP="00365BA4">
      <w:pPr>
        <w:pStyle w:val="NormalWeb"/>
        <w:spacing w:before="0" w:beforeAutospacing="0" w:after="0" w:afterAutospacing="0"/>
        <w:jc w:val="center"/>
      </w:pPr>
      <w:r>
        <w:t> </w:t>
      </w:r>
    </w:p>
    <w:p w14:paraId="2FFC6913" w14:textId="77777777" w:rsidR="00365BA4" w:rsidRDefault="00365BA4" w:rsidP="00365BA4">
      <w:pPr>
        <w:pStyle w:val="NormalWeb"/>
        <w:spacing w:before="0" w:beforeAutospacing="0" w:after="0" w:afterAutospacing="0"/>
        <w:jc w:val="center"/>
      </w:pPr>
      <w:r>
        <w:rPr>
          <w:rStyle w:val="Strong"/>
        </w:rPr>
        <w:t>Нэг. Нийтлэг үндэслэл</w:t>
      </w:r>
    </w:p>
    <w:p w14:paraId="0157D400" w14:textId="77777777" w:rsidR="00365BA4" w:rsidRPr="00F6008D" w:rsidRDefault="00365BA4" w:rsidP="00365BA4">
      <w:pPr>
        <w:pStyle w:val="NormalWeb"/>
        <w:spacing w:before="0" w:beforeAutospacing="0" w:after="0" w:afterAutospacing="0"/>
        <w:jc w:val="both"/>
        <w:rPr>
          <w:rFonts w:ascii="Arial" w:hAnsi="Arial" w:cs="Arial"/>
        </w:rPr>
      </w:pPr>
      <w:r w:rsidRPr="00F6008D">
        <w:rPr>
          <w:rFonts w:ascii="Arial" w:hAnsi="Arial" w:cs="Arial"/>
        </w:rPr>
        <w:t>            1.1. Барилгын тухай хуулийн 10.1-д заасан барилга байгууламжийн төвөгшлийн ангилалыг түүний зориулалт, төрөл, хүчин чадалтай уялдуулан тогтооход энэхүү дүрмийг мөрдөнө.</w:t>
      </w:r>
    </w:p>
    <w:p w14:paraId="216CAC2A" w14:textId="77777777" w:rsidR="00365BA4" w:rsidRPr="00F6008D" w:rsidRDefault="00365BA4" w:rsidP="00365BA4">
      <w:pPr>
        <w:pStyle w:val="NormalWeb"/>
        <w:spacing w:before="0" w:beforeAutospacing="0" w:after="0" w:afterAutospacing="0"/>
        <w:jc w:val="both"/>
        <w:rPr>
          <w:rFonts w:ascii="Arial" w:hAnsi="Arial" w:cs="Arial"/>
        </w:rPr>
      </w:pPr>
      <w:r w:rsidRPr="00F6008D">
        <w:rPr>
          <w:rFonts w:ascii="Arial" w:hAnsi="Arial" w:cs="Arial"/>
        </w:rPr>
        <w:t>            1.2. Барилгын ажлын төрөлтэй уялдуулан Барилга байгууламжийн зориулалт, төрөл, хүчин чадлыг Барилгын тухай хууль болон барилга байгууламжийн норматив баримт бичигт зааснаар тусгаж хэрэгжүүлнэ.</w:t>
      </w:r>
    </w:p>
    <w:p w14:paraId="61158885" w14:textId="77777777" w:rsidR="00365BA4" w:rsidRPr="00F6008D" w:rsidRDefault="00365BA4" w:rsidP="00365BA4">
      <w:pPr>
        <w:pStyle w:val="NormalWeb"/>
        <w:spacing w:before="0" w:beforeAutospacing="0" w:after="0" w:afterAutospacing="0"/>
        <w:jc w:val="center"/>
        <w:rPr>
          <w:rFonts w:ascii="Arial" w:hAnsi="Arial" w:cs="Arial"/>
        </w:rPr>
      </w:pPr>
      <w:r w:rsidRPr="00F6008D">
        <w:rPr>
          <w:rFonts w:ascii="Arial" w:hAnsi="Arial" w:cs="Arial"/>
        </w:rPr>
        <w:t xml:space="preserve">           </w:t>
      </w:r>
      <w:r w:rsidRPr="00F6008D">
        <w:rPr>
          <w:rStyle w:val="Strong"/>
          <w:rFonts w:ascii="Arial" w:hAnsi="Arial" w:cs="Arial"/>
        </w:rPr>
        <w:t>Хоёр. Барилга байгууламжийн төвөгшлийн ангилалыг хэрэглэх хүрээ</w:t>
      </w:r>
    </w:p>
    <w:p w14:paraId="122343AD" w14:textId="77777777" w:rsidR="00365BA4" w:rsidRPr="00F6008D" w:rsidRDefault="00365BA4" w:rsidP="00365BA4">
      <w:pPr>
        <w:pStyle w:val="NormalWeb"/>
        <w:spacing w:before="0" w:beforeAutospacing="0" w:after="0" w:afterAutospacing="0"/>
        <w:jc w:val="both"/>
        <w:rPr>
          <w:rFonts w:ascii="Arial" w:hAnsi="Arial" w:cs="Arial"/>
        </w:rPr>
      </w:pPr>
      <w:r w:rsidRPr="00F6008D">
        <w:rPr>
          <w:rFonts w:ascii="Arial" w:hAnsi="Arial" w:cs="Arial"/>
        </w:rPr>
        <w:t>2.1. Барилга байгууламжийн төвөгшлийн ангилал нь  барилгын үйл ажиллагааны тусгай зөвшөөрөл олгох, барилга байгууламжийн зураг төсөлд магадлал хийх, барилгын ажлын зөвшөөрөл олгох, барилга байгууламжийг эхлүүлэх, үргэжлүүлэх, ашиглалтад оруулах, барилгын салбарын мэргэжилтэнд мэргэшлийн зэрэг олгох, сунгах, зөвлөх үйлчилгээ үзүүлэх, барилгын ажилд захиалагчийн хяналт тавих зэрэг үйл ажиллагааг зохицуулах үндэслэл болно.</w:t>
      </w:r>
    </w:p>
    <w:p w14:paraId="6DE80E79" w14:textId="77777777" w:rsidR="00365BA4" w:rsidRPr="00F6008D" w:rsidRDefault="00365BA4" w:rsidP="00365BA4">
      <w:pPr>
        <w:pStyle w:val="NormalWeb"/>
        <w:spacing w:before="0" w:beforeAutospacing="0" w:after="0" w:afterAutospacing="0"/>
        <w:jc w:val="both"/>
        <w:rPr>
          <w:rFonts w:ascii="Arial" w:hAnsi="Arial" w:cs="Arial"/>
        </w:rPr>
      </w:pPr>
      <w:r w:rsidRPr="00F6008D">
        <w:rPr>
          <w:rFonts w:ascii="Arial" w:hAnsi="Arial" w:cs="Arial"/>
        </w:rPr>
        <w:t>2.2 Барилга байгууламжийн төвөгшлийн ангилал дээшлэхэд өмнөх ангиллын холбогдох төрлийн барилга байгууламжууд тухайн ангилалд шууд хамаарна.</w:t>
      </w:r>
    </w:p>
    <w:p w14:paraId="7A8034DC" w14:textId="77777777" w:rsidR="00365BA4" w:rsidRPr="00F6008D" w:rsidRDefault="00365BA4" w:rsidP="00365BA4">
      <w:pPr>
        <w:pStyle w:val="NormalWeb"/>
        <w:spacing w:before="0" w:beforeAutospacing="0" w:after="0" w:afterAutospacing="0"/>
        <w:jc w:val="center"/>
        <w:rPr>
          <w:rFonts w:ascii="Arial" w:hAnsi="Arial" w:cs="Arial"/>
        </w:rPr>
      </w:pPr>
      <w:r w:rsidRPr="00F6008D">
        <w:rPr>
          <w:rStyle w:val="Strong"/>
          <w:rFonts w:ascii="Arial" w:hAnsi="Arial" w:cs="Arial"/>
        </w:rPr>
        <w:t>Гурав. Барилга байгууламжийн төвөгшлийн ангилал</w:t>
      </w:r>
    </w:p>
    <w:p w14:paraId="2378D455" w14:textId="77777777" w:rsidR="00365BA4" w:rsidRPr="00F6008D" w:rsidRDefault="00365BA4" w:rsidP="00365BA4">
      <w:pPr>
        <w:pStyle w:val="NormalWeb"/>
        <w:spacing w:before="0" w:beforeAutospacing="0" w:after="0" w:afterAutospacing="0"/>
        <w:rPr>
          <w:rFonts w:ascii="Arial" w:hAnsi="Arial" w:cs="Arial"/>
        </w:rPr>
      </w:pPr>
      <w:r w:rsidRPr="00F6008D">
        <w:rPr>
          <w:rFonts w:ascii="Arial" w:hAnsi="Arial" w:cs="Arial"/>
        </w:rPr>
        <w:t>3.1.Барилга байгууламжийн төвөгшлийн ангилалыг тогтоохдоо доорх үзүүлэлтүүдийг харгалзан үзнэ. Үүнд:</w:t>
      </w:r>
    </w:p>
    <w:p w14:paraId="6D7696D2" w14:textId="77777777" w:rsidR="00365BA4" w:rsidRPr="00F6008D" w:rsidRDefault="00365BA4" w:rsidP="00365BA4">
      <w:pPr>
        <w:numPr>
          <w:ilvl w:val="0"/>
          <w:numId w:val="1"/>
        </w:numPr>
        <w:rPr>
          <w:rFonts w:ascii="Arial" w:eastAsia="Times New Roman" w:hAnsi="Arial" w:cs="Arial"/>
          <w:sz w:val="24"/>
          <w:szCs w:val="24"/>
        </w:rPr>
      </w:pPr>
      <w:r w:rsidRPr="00F6008D">
        <w:rPr>
          <w:rFonts w:ascii="Arial" w:eastAsia="Times New Roman" w:hAnsi="Arial" w:cs="Arial"/>
          <w:sz w:val="24"/>
          <w:szCs w:val="24"/>
        </w:rPr>
        <w:t>Барилга байгууламжийн зориулалт, хүчин чадал, овор хэмжээ;</w:t>
      </w:r>
    </w:p>
    <w:p w14:paraId="7984DD3D" w14:textId="77777777" w:rsidR="00365BA4" w:rsidRPr="00F6008D" w:rsidRDefault="00365BA4" w:rsidP="00365BA4">
      <w:pPr>
        <w:numPr>
          <w:ilvl w:val="0"/>
          <w:numId w:val="1"/>
        </w:numPr>
        <w:rPr>
          <w:rFonts w:ascii="Arial" w:eastAsia="Times New Roman" w:hAnsi="Arial" w:cs="Arial"/>
          <w:sz w:val="24"/>
          <w:szCs w:val="24"/>
        </w:rPr>
      </w:pPr>
      <w:r w:rsidRPr="00F6008D">
        <w:rPr>
          <w:rFonts w:ascii="Arial" w:eastAsia="Times New Roman" w:hAnsi="Arial" w:cs="Arial"/>
          <w:sz w:val="24"/>
          <w:szCs w:val="24"/>
        </w:rPr>
        <w:t>Барилга байгууламжийн өндөр, урт, эзлэхүүн, талбай;</w:t>
      </w:r>
    </w:p>
    <w:p w14:paraId="79285D2D" w14:textId="77777777" w:rsidR="00365BA4" w:rsidRPr="00F6008D" w:rsidRDefault="00365BA4" w:rsidP="00365BA4">
      <w:pPr>
        <w:numPr>
          <w:ilvl w:val="0"/>
          <w:numId w:val="1"/>
        </w:numPr>
        <w:rPr>
          <w:rFonts w:ascii="Arial" w:eastAsia="Times New Roman" w:hAnsi="Arial" w:cs="Arial"/>
          <w:sz w:val="24"/>
          <w:szCs w:val="24"/>
        </w:rPr>
      </w:pPr>
      <w:r w:rsidRPr="00F6008D">
        <w:rPr>
          <w:rFonts w:ascii="Arial" w:eastAsia="Times New Roman" w:hAnsi="Arial" w:cs="Arial"/>
          <w:sz w:val="24"/>
          <w:szCs w:val="24"/>
        </w:rPr>
        <w:t>Барилгажилтын нягтрал;</w:t>
      </w:r>
    </w:p>
    <w:p w14:paraId="1C8B7678" w14:textId="77777777" w:rsidR="00365BA4" w:rsidRPr="00F6008D" w:rsidRDefault="00365BA4" w:rsidP="00365BA4">
      <w:pPr>
        <w:numPr>
          <w:ilvl w:val="0"/>
          <w:numId w:val="1"/>
        </w:numPr>
        <w:rPr>
          <w:rFonts w:ascii="Arial" w:eastAsia="Times New Roman" w:hAnsi="Arial" w:cs="Arial"/>
          <w:sz w:val="24"/>
          <w:szCs w:val="24"/>
        </w:rPr>
      </w:pPr>
      <w:r w:rsidRPr="00F6008D">
        <w:rPr>
          <w:rFonts w:ascii="Arial" w:eastAsia="Times New Roman" w:hAnsi="Arial" w:cs="Arial"/>
          <w:sz w:val="24"/>
          <w:szCs w:val="24"/>
        </w:rPr>
        <w:t>Барилга байгууламжийн эрсдэлийн түвшин;</w:t>
      </w:r>
    </w:p>
    <w:p w14:paraId="2D4C9B75" w14:textId="77777777" w:rsidR="00365BA4" w:rsidRPr="00F6008D" w:rsidRDefault="00365BA4" w:rsidP="00365BA4">
      <w:pPr>
        <w:numPr>
          <w:ilvl w:val="0"/>
          <w:numId w:val="1"/>
        </w:numPr>
        <w:rPr>
          <w:rFonts w:ascii="Arial" w:eastAsia="Times New Roman" w:hAnsi="Arial" w:cs="Arial"/>
          <w:sz w:val="24"/>
          <w:szCs w:val="24"/>
        </w:rPr>
      </w:pPr>
      <w:r w:rsidRPr="00F6008D">
        <w:rPr>
          <w:rFonts w:ascii="Arial" w:eastAsia="Times New Roman" w:hAnsi="Arial" w:cs="Arial"/>
          <w:sz w:val="24"/>
          <w:szCs w:val="24"/>
        </w:rPr>
        <w:t>Галын аюулгүй байдлын зэрэглэл;</w:t>
      </w:r>
    </w:p>
    <w:p w14:paraId="6EF4A461" w14:textId="77777777" w:rsidR="00365BA4" w:rsidRPr="00F6008D" w:rsidRDefault="00365BA4" w:rsidP="00365BA4">
      <w:pPr>
        <w:numPr>
          <w:ilvl w:val="0"/>
          <w:numId w:val="1"/>
        </w:numPr>
        <w:rPr>
          <w:rFonts w:ascii="Arial" w:eastAsia="Times New Roman" w:hAnsi="Arial" w:cs="Arial"/>
          <w:sz w:val="24"/>
          <w:szCs w:val="24"/>
        </w:rPr>
      </w:pPr>
      <w:r w:rsidRPr="00F6008D">
        <w:rPr>
          <w:rFonts w:ascii="Arial" w:eastAsia="Times New Roman" w:hAnsi="Arial" w:cs="Arial"/>
          <w:sz w:val="24"/>
          <w:szCs w:val="24"/>
        </w:rPr>
        <w:t>Эдийн засаг, нийгэм, экологийн үр дагаварт нөлөөлж болзошгүй техникийн шинж чанар.</w:t>
      </w:r>
    </w:p>
    <w:p w14:paraId="3A530504" w14:textId="77777777" w:rsidR="00365BA4" w:rsidRPr="00F6008D" w:rsidRDefault="00365BA4" w:rsidP="00365BA4">
      <w:pPr>
        <w:pStyle w:val="NormalWeb"/>
        <w:spacing w:before="0" w:beforeAutospacing="0" w:after="0" w:afterAutospacing="0"/>
        <w:jc w:val="both"/>
        <w:rPr>
          <w:rFonts w:ascii="Arial" w:hAnsi="Arial" w:cs="Arial"/>
        </w:rPr>
      </w:pPr>
      <w:r w:rsidRPr="00F6008D">
        <w:rPr>
          <w:rFonts w:ascii="Arial" w:hAnsi="Arial" w:cs="Arial"/>
        </w:rPr>
        <w:t>3.2. Барилга байгууламжийн инженер хайгуулын судалгаа болон барилгын дотор инженерийн шугам сүлжээ, гадна талбайн тохижилтын ажлын тухайд энэ дүрмийн 3.1-д заасан ангилалтай уялдуулан тодорхойлно.</w:t>
      </w:r>
    </w:p>
    <w:p w14:paraId="1DF433F6" w14:textId="77777777" w:rsidR="00365BA4" w:rsidRPr="00F6008D" w:rsidRDefault="00365BA4" w:rsidP="00365BA4">
      <w:pPr>
        <w:pStyle w:val="NormalWeb"/>
        <w:spacing w:before="0" w:beforeAutospacing="0" w:after="0" w:afterAutospacing="0"/>
        <w:jc w:val="both"/>
        <w:rPr>
          <w:rFonts w:ascii="Arial" w:hAnsi="Arial" w:cs="Arial"/>
        </w:rPr>
      </w:pPr>
      <w:r w:rsidRPr="00F6008D">
        <w:rPr>
          <w:rFonts w:ascii="Arial" w:hAnsi="Arial" w:cs="Arial"/>
        </w:rPr>
        <w:t>3.3. Төвөгшлийн ангилалд хамааруулах барилга байгууламжийн төрлийг энэ дүрмийн хавсралтаар тогтооно.</w:t>
      </w:r>
    </w:p>
    <w:p w14:paraId="3C7A1F1D" w14:textId="77777777" w:rsidR="00365BA4" w:rsidRPr="00F6008D" w:rsidRDefault="00365BA4" w:rsidP="00365BA4">
      <w:pPr>
        <w:pStyle w:val="NormalWeb"/>
        <w:spacing w:before="0" w:beforeAutospacing="0" w:after="0" w:afterAutospacing="0"/>
        <w:jc w:val="center"/>
        <w:rPr>
          <w:rFonts w:ascii="Arial" w:hAnsi="Arial" w:cs="Arial"/>
        </w:rPr>
      </w:pPr>
      <w:r w:rsidRPr="00F6008D">
        <w:rPr>
          <w:rStyle w:val="Strong"/>
          <w:rFonts w:ascii="Arial" w:hAnsi="Arial" w:cs="Arial"/>
        </w:rPr>
        <w:t>Дөрөв. Барилга байгууламжийн ашиглалтын явцад төвөгшлийн ангилалд өөрчлөлт оруулах</w:t>
      </w:r>
    </w:p>
    <w:p w14:paraId="34085E99" w14:textId="77777777" w:rsidR="00365BA4" w:rsidRPr="00F6008D" w:rsidRDefault="00365BA4" w:rsidP="00365BA4">
      <w:pPr>
        <w:pStyle w:val="NormalWeb"/>
        <w:spacing w:before="0" w:beforeAutospacing="0" w:after="0" w:afterAutospacing="0"/>
        <w:jc w:val="both"/>
        <w:rPr>
          <w:rFonts w:ascii="Arial" w:hAnsi="Arial" w:cs="Arial"/>
        </w:rPr>
      </w:pPr>
      <w:r w:rsidRPr="00F6008D">
        <w:rPr>
          <w:rFonts w:ascii="Arial" w:hAnsi="Arial" w:cs="Arial"/>
        </w:rPr>
        <w:t>4.1.Барилга байгууламжийн ашиглалтын хэвийн нөхцөлийг хангуулж, уг журмын 3.1-д заасан төлөв байдлыг бүхэлд нь буюу  хэсэгчлэн өөрчилж өргөтгөл, шинэчлэлт хийсэн бол тухайн барилга байгууламжийн төвөгшлийн ангилалд өөрчлөлт оруулах үндэслэл болно.</w:t>
      </w:r>
    </w:p>
    <w:p w14:paraId="4021DCDD" w14:textId="77777777" w:rsidR="00365BA4" w:rsidRPr="00F6008D" w:rsidRDefault="00365BA4" w:rsidP="00365BA4">
      <w:pPr>
        <w:pStyle w:val="NormalWeb"/>
        <w:spacing w:before="0" w:beforeAutospacing="0" w:after="0" w:afterAutospacing="0"/>
        <w:jc w:val="both"/>
        <w:rPr>
          <w:rFonts w:ascii="Arial" w:hAnsi="Arial" w:cs="Arial"/>
        </w:rPr>
      </w:pPr>
      <w:r w:rsidRPr="00F6008D">
        <w:rPr>
          <w:rFonts w:ascii="Arial" w:hAnsi="Arial" w:cs="Arial"/>
        </w:rPr>
        <w:t xml:space="preserve">4.2.Барилга байгууламжийн ашиглалтын хэвийн нөхцлийн хангуулж, уг журмын 3.1-д заасантөлөв байдлыг өөрчлөлгүй, үндсэн бүтээц болон инженерийн шугам </w:t>
      </w:r>
      <w:r w:rsidRPr="00F6008D">
        <w:rPr>
          <w:rFonts w:ascii="Arial" w:hAnsi="Arial" w:cs="Arial"/>
        </w:rPr>
        <w:lastRenderedPageBreak/>
        <w:t>сүлжээнд тоног төхөөрөмжид шинэчлэлхийсэн бол тухайн барилга байгууламжийн төвөгшлийн ангилал  хэвээр байна.</w:t>
      </w:r>
    </w:p>
    <w:p w14:paraId="6E22D67C" w14:textId="77777777" w:rsidR="00365BA4" w:rsidRPr="00F6008D" w:rsidRDefault="00365BA4" w:rsidP="00365BA4">
      <w:pPr>
        <w:pStyle w:val="NormalWeb"/>
        <w:spacing w:before="0" w:beforeAutospacing="0" w:after="0" w:afterAutospacing="0"/>
        <w:jc w:val="both"/>
        <w:rPr>
          <w:rFonts w:ascii="Arial" w:hAnsi="Arial" w:cs="Arial"/>
        </w:rPr>
      </w:pPr>
      <w:r w:rsidRPr="00F6008D">
        <w:rPr>
          <w:rFonts w:ascii="Arial" w:hAnsi="Arial" w:cs="Arial"/>
        </w:rPr>
        <w:t>4.3. Өмчлөгч, эзэмшигч нь барилга байгууламжид эвдрэл, гэмтэл учруулсан, зохих мэргэжлийн байгууллагын зөвшөөрөлгүйгээр үндсэн хийц, бүтээц, төлөвлөлт, зориулалтыг өөрчилсөн, тухайн барилга байгууламжид байгаль орчин, хүний амь нас, эрүүл мэндэд сөрөг нөлөө үзүүлсэн,ашиглалтын хэвийн нөхцөлийг алдагдуулж болзошгүй үйл ажиллагаа эрхлэнбарилга байгууламжийн төвөгшлийн ангилалд хамаарах зориулалт, төрөл, хүчин чадал, техникийн шинж чанарыг өөрчилж болохгүй.</w:t>
      </w:r>
    </w:p>
    <w:p w14:paraId="498B48D5" w14:textId="77777777" w:rsidR="00365BA4" w:rsidRPr="00F6008D" w:rsidRDefault="00365BA4" w:rsidP="00365BA4">
      <w:pPr>
        <w:pStyle w:val="NormalWeb"/>
        <w:spacing w:before="0" w:beforeAutospacing="0" w:after="0" w:afterAutospacing="0"/>
        <w:rPr>
          <w:rFonts w:ascii="Arial" w:hAnsi="Arial" w:cs="Arial"/>
        </w:rPr>
      </w:pPr>
      <w:r w:rsidRPr="00F6008D">
        <w:rPr>
          <w:rFonts w:ascii="Arial" w:hAnsi="Arial" w:cs="Arial"/>
        </w:rPr>
        <w:t> </w:t>
      </w:r>
    </w:p>
    <w:p w14:paraId="7F7601E5" w14:textId="77777777" w:rsidR="00365BA4" w:rsidRPr="00F6008D" w:rsidRDefault="00365BA4" w:rsidP="00365BA4">
      <w:pPr>
        <w:pStyle w:val="NormalWeb"/>
        <w:spacing w:before="0" w:beforeAutospacing="0" w:after="0" w:afterAutospacing="0"/>
        <w:jc w:val="center"/>
        <w:rPr>
          <w:rFonts w:ascii="Arial" w:hAnsi="Arial" w:cs="Arial"/>
        </w:rPr>
      </w:pPr>
      <w:r w:rsidRPr="00F6008D">
        <w:rPr>
          <w:rFonts w:ascii="Arial" w:hAnsi="Arial" w:cs="Arial"/>
        </w:rPr>
        <w:t>---ооОоо---</w:t>
      </w:r>
    </w:p>
    <w:p w14:paraId="60B0E07F" w14:textId="77777777" w:rsidR="00DC2147" w:rsidRDefault="00DC2147">
      <w:bookmarkStart w:id="0" w:name="_GoBack"/>
      <w:bookmarkEnd w:id="0"/>
    </w:p>
    <w:sectPr w:rsidR="00DC2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04F4"/>
    <w:multiLevelType w:val="multilevel"/>
    <w:tmpl w:val="712E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EA"/>
    <w:rsid w:val="00365BA4"/>
    <w:rsid w:val="00794C99"/>
    <w:rsid w:val="008B5554"/>
    <w:rsid w:val="00A054EA"/>
    <w:rsid w:val="00DC21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7281D-0DC0-4B71-87E1-7606A5B5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BA4"/>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BA4"/>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sid w:val="00365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www.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dc:creator>
  <cp:keywords/>
  <dc:description/>
  <cp:lastModifiedBy>mn</cp:lastModifiedBy>
  <cp:revision>2</cp:revision>
  <dcterms:created xsi:type="dcterms:W3CDTF">2019-11-13T09:14:00Z</dcterms:created>
  <dcterms:modified xsi:type="dcterms:W3CDTF">2019-11-13T09:14:00Z</dcterms:modified>
</cp:coreProperties>
</file>